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1019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1019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Положения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порядке заключения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концессионных соглашений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в целях эффективного использования муниципального имущества, находящегося в собственности муниципального образования городской округ город Воронеж, а также обеспечения взаимодействия и координации структурных подразделений администрации городского округа город Воронеж при заключении концессионных соглашений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Положение о порядке заключения концессионных соглашений на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Порядок формирования и утверждения перечня объектов, в отношении которых планируется заключение концессионных соглашений.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